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12EA6" w:rsidRPr="000249D0" w:rsidRDefault="00112EA6" w:rsidP="00112EA6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hAnsi="Tahoma" w:cs="Tahoma"/>
          <w:b/>
          <w:color w:val="006666"/>
          <w:sz w:val="20"/>
        </w:rPr>
      </w:pPr>
      <w:r>
        <w:fldChar w:fldCharType="begin"/>
      </w:r>
      <w:r>
        <w:instrText xml:space="preserve"> HYPERLINK "javascript:Vincular(1274165)" </w:instrText>
      </w:r>
      <w:r>
        <w:fldChar w:fldCharType="separate"/>
      </w:r>
      <w:r w:rsidRPr="000249D0">
        <w:rPr>
          <w:rFonts w:ascii="Tahoma" w:hAnsi="Tahoma" w:cs="Tahoma"/>
          <w:b/>
          <w:color w:val="006666"/>
          <w:sz w:val="20"/>
        </w:rPr>
        <w:t>NAC-DGERCGC17-00000144</w:t>
      </w:r>
      <w:r>
        <w:rPr>
          <w:rFonts w:ascii="Tahoma" w:hAnsi="Tahoma" w:cs="Tahoma"/>
          <w:b/>
          <w:color w:val="006666"/>
          <w:sz w:val="20"/>
        </w:rPr>
        <w:fldChar w:fldCharType="end"/>
      </w:r>
      <w:r w:rsidRPr="00FD4013">
        <w:rPr>
          <w:rFonts w:ascii="Tahoma" w:hAnsi="Tahoma" w:cs="Tahoma"/>
          <w:b/>
          <w:color w:val="006666"/>
          <w:sz w:val="20"/>
        </w:rPr>
        <w:t>: Amplíese el plazo para la presentación del anexo de gastos personales, correspondiente al ejercicio fiscal 2016</w:t>
      </w:r>
    </w:p>
    <w:p w:rsidR="00112EA6" w:rsidRPr="00FD4013" w:rsidRDefault="00112EA6" w:rsidP="00112EA6">
      <w:pPr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</w:pPr>
    </w:p>
    <w:p w:rsidR="00112EA6" w:rsidRPr="00FD4013" w:rsidRDefault="00112EA6" w:rsidP="00112EA6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Resuelve:</w:t>
      </w:r>
      <w:r w:rsidRPr="000249D0">
        <w:rPr>
          <w:rFonts w:ascii="Tahoma" w:eastAsia="Times New Roman" w:hAnsi="Tahoma" w:cs="Tahoma"/>
          <w:b/>
          <w:sz w:val="16"/>
          <w:szCs w:val="16"/>
          <w:lang w:eastAsia="es-EC"/>
        </w:rPr>
        <w:t> </w:t>
      </w:r>
    </w:p>
    <w:p w:rsidR="00112EA6" w:rsidRPr="00FD4013" w:rsidRDefault="00112EA6" w:rsidP="00112EA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shd w:val="clear" w:color="auto" w:fill="FFFFFF"/>
          <w:lang w:eastAsia="es-EC"/>
        </w:rPr>
        <w:t>Ampliar el plazo para la presentación del Anexo de Gastos Personales, correspondiente al ejercicio fiscal 2016.</w:t>
      </w: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shd w:val="clear" w:color="auto" w:fill="FFFFFF"/>
          <w:lang w:eastAsia="es-EC"/>
        </w:rPr>
        <w:t>Artículo 1.-</w:t>
      </w:r>
      <w:r w:rsidRPr="00FD4013"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  <w:t> Para todos los sujetos pasivos de Impuesto a la Renta, por única vez, amplíese el plazo de presentación del Anexo de Gastos Personales correspondiente al ejercicio fiscal 2016, hasta el día miércoles, 8 de marzo de 2017, sin que por este concepto se generen o deba pagarse cualquier tipo de multas.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  <w:t>La entrega de información del Anexo de Gastos Personales se realizará de acuerdo al siguiente calendario:</w:t>
      </w:r>
    </w:p>
    <w:p w:rsidR="00112EA6" w:rsidRPr="00FD4013" w:rsidRDefault="00112EA6" w:rsidP="00112EA6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tbl>
      <w:tblPr>
        <w:tblW w:w="0" w:type="auto"/>
        <w:jc w:val="center"/>
        <w:tblInd w:w="5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1519"/>
      </w:tblGrid>
      <w:tr w:rsidR="00112EA6" w:rsidRPr="000249D0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>Noveno dígito RUC</w:t>
            </w:r>
          </w:p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 xml:space="preserve"> o Cédula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 xml:space="preserve">Fecha de </w:t>
            </w:r>
          </w:p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b/>
                <w:sz w:val="16"/>
                <w:szCs w:val="16"/>
                <w:lang w:eastAsia="es-EC"/>
              </w:rPr>
              <w:t>vencimiento</w:t>
            </w:r>
          </w:p>
        </w:tc>
      </w:tr>
      <w:tr w:rsidR="00112EA6" w:rsidRPr="00FD4013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1 y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02 de marzo de 2017</w:t>
            </w:r>
          </w:p>
        </w:tc>
      </w:tr>
      <w:tr w:rsidR="00112EA6" w:rsidRPr="00FD4013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3 y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03 de marzo de 2017</w:t>
            </w:r>
          </w:p>
        </w:tc>
      </w:tr>
      <w:tr w:rsidR="00112EA6" w:rsidRPr="00FD4013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5 y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06 de marzo de 2017</w:t>
            </w:r>
          </w:p>
        </w:tc>
      </w:tr>
      <w:tr w:rsidR="00112EA6" w:rsidRPr="00FD4013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7 y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07 de marzo de 2017</w:t>
            </w:r>
          </w:p>
        </w:tc>
      </w:tr>
      <w:tr w:rsidR="00112EA6" w:rsidRPr="00FD4013" w:rsidTr="00B957DB">
        <w:trPr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9 y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EA6" w:rsidRPr="00FD4013" w:rsidRDefault="00112EA6" w:rsidP="00B957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</w:pPr>
            <w:r w:rsidRPr="00FD4013">
              <w:rPr>
                <w:rFonts w:ascii="Tahoma" w:eastAsia="Times New Roman" w:hAnsi="Tahoma" w:cs="Tahoma"/>
                <w:sz w:val="16"/>
                <w:szCs w:val="16"/>
                <w:lang w:eastAsia="es-EC"/>
              </w:rPr>
              <w:t>08 de marzo de 2017</w:t>
            </w:r>
          </w:p>
        </w:tc>
      </w:tr>
    </w:tbl>
    <w:p w:rsidR="00112EA6" w:rsidRPr="00FD4013" w:rsidRDefault="00112EA6" w:rsidP="00112EA6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112EA6" w:rsidRPr="00FD4013" w:rsidRDefault="00112EA6" w:rsidP="00112EA6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Artículo 2.-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t> Todas las unidades del Servicio de Rentas Internas deberán considerar lo dispuesto en la presente Resolución dentro de sus respectivos procesos de determinación y control.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DISPOSICIÓN GENERAL: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t> Sin perjuicio de lo señalado en los artículos 1 y 2 de la presente Resolución, los sujetos pasivos podrán presentar el Anexo de Gastos Personales correspondiente al ejercicio fiscal 2016, en las fechas previstas para el efecto, en Resolución No. NAC-DGERCGC09-00391 publicada en el Suplemento del Registro Oficial No. 613 de 16 de junio de 2009.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br/>
      </w:r>
      <w:r w:rsidRPr="00FD4013">
        <w:rPr>
          <w:rFonts w:ascii="Tahoma" w:eastAsia="Times New Roman" w:hAnsi="Tahoma" w:cs="Tahoma"/>
          <w:b/>
          <w:sz w:val="16"/>
          <w:szCs w:val="16"/>
          <w:lang w:eastAsia="es-EC"/>
        </w:rPr>
        <w:t>DISPOSICIÓN FINAL.-</w:t>
      </w:r>
      <w:r w:rsidRPr="00FD4013">
        <w:rPr>
          <w:rFonts w:ascii="Tahoma" w:eastAsia="Times New Roman" w:hAnsi="Tahoma" w:cs="Tahoma"/>
          <w:sz w:val="16"/>
          <w:szCs w:val="16"/>
          <w:lang w:eastAsia="es-EC"/>
        </w:rPr>
        <w:t> La presente Resolución entrará en vigencia a partir de su publicación en el Registro Oficial.</w:t>
      </w:r>
    </w:p>
    <w:p w:rsidR="00112EA6" w:rsidRPr="00FD4013" w:rsidRDefault="00112EA6" w:rsidP="00112EA6">
      <w:pPr>
        <w:spacing w:after="0" w:line="240" w:lineRule="auto"/>
        <w:rPr>
          <w:rFonts w:ascii="Tahoma" w:eastAsia="Times New Roman" w:hAnsi="Tahoma" w:cs="Tahoma"/>
          <w:sz w:val="16"/>
          <w:szCs w:val="16"/>
          <w:shd w:val="clear" w:color="auto" w:fill="FFFFFF"/>
          <w:lang w:eastAsia="es-EC"/>
        </w:rPr>
      </w:pPr>
    </w:p>
    <w:p w:rsidR="00112EA6" w:rsidRDefault="00112EA6" w:rsidP="00112EA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es-EC"/>
        </w:rPr>
      </w:pPr>
    </w:p>
    <w:p w:rsidR="008E49C1" w:rsidRDefault="00112EA6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249"/>
    <w:multiLevelType w:val="hybridMultilevel"/>
    <w:tmpl w:val="005E67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A6"/>
    <w:rsid w:val="00112EA6"/>
    <w:rsid w:val="00323ADC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EA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12E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EA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1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2017-03-24T16:46:00Z</dcterms:created>
  <dcterms:modified xsi:type="dcterms:W3CDTF">2017-03-24T16:47:00Z</dcterms:modified>
</cp:coreProperties>
</file>